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12A5A51D" w:rsidR="00041AB3" w:rsidRPr="007F6441" w:rsidRDefault="007F6441"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68838553"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 </w:t>
            </w:r>
            <w:r>
              <w:rPr>
                <w:rFonts w:ascii="Calibri" w:eastAsia="굴림" w:hAnsi="Calibri" w:cs="Calibri" w:hint="eastAsia"/>
                <w:b/>
                <w:bCs/>
                <w:spacing w:val="-8"/>
                <w:sz w:val="16"/>
                <w:szCs w:val="16"/>
              </w:rPr>
              <w:t xml:space="preserve"> Kyungyon Exhibition Corp</w:t>
            </w:r>
            <w:r w:rsidRPr="00B17AFE">
              <w:rPr>
                <w:rFonts w:ascii="Calibri" w:eastAsia="굴림" w:hAnsi="Calibri" w:cs="Calibri"/>
                <w:spacing w:val="-8"/>
                <w:sz w:val="16"/>
                <w:szCs w:val="16"/>
              </w:rPr>
              <w:t xml:space="preserve"> </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Rm. 1101, 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 Bldg., 750, Gukhoe-daero, yeongdeungpo-gu,</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+82-2-785-4771  Fax. +82-2-785-6117</w:t>
            </w:r>
          </w:p>
        </w:tc>
      </w:tr>
    </w:tbl>
    <w:p w14:paraId="693999C8" w14:textId="77BBF43E" w:rsidR="00903EF4" w:rsidRDefault="00DA04EE" w:rsidP="001570E9">
      <w:pPr>
        <w:wordWrap/>
        <w:rPr>
          <w:rFonts w:ascii="Calibri" w:eastAsia="HY중고딕" w:hAnsi="Calibri" w:cs="Calibri"/>
          <w:b/>
          <w:sz w:val="24"/>
        </w:rPr>
      </w:pPr>
      <w:r w:rsidRPr="00DA04EE">
        <w:rPr>
          <w:rFonts w:ascii="Calibri" w:eastAsia="HY중고딕" w:hAnsi="Calibri" w:cs="Tahoma"/>
          <w:b/>
          <w:sz w:val="24"/>
        </w:rPr>
        <w:drawing>
          <wp:anchor distT="0" distB="0" distL="114300" distR="114300" simplePos="0" relativeHeight="251658240" behindDoc="0" locked="0" layoutInCell="1" allowOverlap="1" wp14:anchorId="7BB87118" wp14:editId="550278E6">
            <wp:simplePos x="0" y="0"/>
            <wp:positionH relativeFrom="column">
              <wp:posOffset>3480</wp:posOffset>
            </wp:positionH>
            <wp:positionV relativeFrom="paragraph">
              <wp:posOffset>-663823</wp:posOffset>
            </wp:positionV>
            <wp:extent cx="2170706" cy="650296"/>
            <wp:effectExtent l="0" t="0" r="1270" b="0"/>
            <wp:wrapNone/>
            <wp:docPr id="827030870" name="그림 1" descr="폰트, 텍스트, 로고, 그래픽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30870" name="그림 1" descr="폰트, 텍스트, 로고, 그래픽이(가) 표시된 사진&#10;&#10;AI 생성 콘텐츠는 정확하지 않을 수 있습니다."/>
                    <pic:cNvPicPr/>
                  </pic:nvPicPr>
                  <pic:blipFill>
                    <a:blip r:embed="rId8">
                      <a:extLst>
                        <a:ext uri="{28A0092B-C50C-407E-A947-70E740481C1C}">
                          <a14:useLocalDpi xmlns:a14="http://schemas.microsoft.com/office/drawing/2010/main" val="0"/>
                        </a:ext>
                      </a:extLst>
                    </a:blip>
                    <a:stretch>
                      <a:fillRect/>
                    </a:stretch>
                  </pic:blipFill>
                  <pic:spPr>
                    <a:xfrm>
                      <a:off x="0" y="0"/>
                      <a:ext cx="2187737" cy="655398"/>
                    </a:xfrm>
                    <a:prstGeom prst="rect">
                      <a:avLst/>
                    </a:prstGeom>
                  </pic:spPr>
                </pic:pic>
              </a:graphicData>
            </a:graphic>
            <wp14:sizeRelH relativeFrom="page">
              <wp14:pctWidth>0</wp14:pctWidth>
            </wp14:sizeRelH>
            <wp14:sizeRelV relativeFrom="page">
              <wp14:pctHeight>0</wp14:pctHeight>
            </wp14:sizeRelV>
          </wp:anchor>
        </w:drawing>
      </w:r>
      <w:r w:rsidR="008E57D7"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16D888A7"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453200A9"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Fax(Rep.)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r w:rsidRPr="00725748">
              <w:rPr>
                <w:rFonts w:ascii="Calibri" w:eastAsia="HY중고딕" w:hAnsi="Calibri" w:cs="Calibri"/>
                <w:szCs w:val="20"/>
                <w:u w:val="single"/>
              </w:rPr>
              <w:t xml:space="preserve">                                                                     </w:t>
            </w:r>
            <w:r w:rsidRPr="00725748">
              <w:rPr>
                <w:rFonts w:ascii="Calibri" w:eastAsia="HY중고딕" w:hAnsi="Calibri" w:cs="Calibri"/>
                <w:szCs w:val="20"/>
              </w:rPr>
              <w:t>)</w:t>
            </w:r>
          </w:p>
        </w:tc>
      </w:tr>
      <w:tr w:rsidR="00A8651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4094D29B" w:rsidR="00A8651D" w:rsidRPr="00725748" w:rsidRDefault="00A8651D" w:rsidP="00A8651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286062A5"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14B521B8"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03DB5827"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10D18E83" w:rsidR="00A8651D" w:rsidRPr="00725748" w:rsidRDefault="00A8651D" w:rsidP="00A8651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r w:rsidRPr="00FC044A">
              <w:rPr>
                <w:rFonts w:ascii="Calibri" w:eastAsia="HY중고딕" w:hAnsi="Calibri" w:cs="Calibri"/>
                <w:szCs w:val="20"/>
                <w:u w:val="single"/>
              </w:rPr>
              <w:t xml:space="preserve">  </w:t>
            </w:r>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1B1361"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1B1361" w:rsidRPr="00725748" w:rsidRDefault="001B1361" w:rsidP="002301AB">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r w:rsidRPr="00725748">
              <w:rPr>
                <w:rFonts w:ascii="Calibri" w:eastAsia="돋움" w:hAnsi="Calibri" w:cs="Calibri"/>
                <w:bCs/>
                <w:szCs w:val="20"/>
              </w:rPr>
              <w:t>(     )m  X  (     )m</w:t>
            </w:r>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Basic Unit :</w:t>
      </w:r>
      <w:r w:rsidRPr="00725748">
        <w:rPr>
          <w:rFonts w:ascii="Calibri" w:eastAsia="HY중고딕" w:hAnsi="Calibri" w:cs="Calibri"/>
          <w:sz w:val="18"/>
          <w:szCs w:val="22"/>
        </w:rPr>
        <w:t xml:space="preserve"> 3m x 3m (9</w:t>
      </w:r>
      <w:r w:rsidRPr="00725748">
        <w:rPr>
          <w:rFonts w:ascii="Calibri" w:eastAsia="HY중고딕" w:hAnsi="Calibri" w:cs="Calibri"/>
          <w:sz w:val="18"/>
          <w:szCs w:val="22"/>
        </w:rPr>
        <w:t>㎡</w:t>
      </w:r>
      <w:r w:rsidRPr="00725748">
        <w:rPr>
          <w:rFonts w:ascii="Calibri" w:eastAsia="HY중고딕" w:hAnsi="Calibri" w:cs="Calibri"/>
          <w:sz w:val="18"/>
          <w:szCs w:val="22"/>
        </w:rPr>
        <w:t xml:space="preserve"> / 1 Booth)   </w:t>
      </w:r>
      <w:r w:rsidRPr="00725748">
        <w:rPr>
          <w:rFonts w:ascii="Calibri" w:eastAsia="HY중고딕" w:hAnsi="Calibri" w:cs="Calibri"/>
          <w:b/>
          <w:sz w:val="18"/>
          <w:szCs w:val="22"/>
        </w:rPr>
        <w:t>* Raw Space Only :</w:t>
      </w:r>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Catalog Holder(1),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(under 1KW), Spotlight(</w:t>
            </w:r>
            <w:r w:rsidR="00BC2ACF">
              <w:rPr>
                <w:rFonts w:ascii="Calibri" w:eastAsia="HY중고딕" w:hAnsi="Calibri" w:cs="Tahoma" w:hint="eastAsia"/>
                <w:sz w:val="19"/>
                <w:szCs w:val="19"/>
              </w:rPr>
              <w:t>4</w:t>
            </w:r>
            <w:r>
              <w:rPr>
                <w:rFonts w:ascii="Calibri" w:eastAsia="HY중고딕" w:hAnsi="Calibri" w:cs="Tahoma" w:hint="eastAsia"/>
                <w:sz w:val="19"/>
                <w:szCs w:val="19"/>
              </w:rPr>
              <w:t>), Waste Basket(1)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35E71EE5"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DA04EE">
        <w:rPr>
          <w:rFonts w:ascii="Book Antiqua" w:eastAsia="HY신명조" w:hAnsi="Book Antiqua" w:cs="Tahoma" w:hint="eastAsia"/>
          <w:b/>
          <w:bCs/>
          <w:spacing w:val="-10"/>
          <w:szCs w:val="20"/>
        </w:rPr>
        <w:t xml:space="preserve">ESG PACK </w:t>
      </w:r>
      <w:r w:rsidR="00300FD0">
        <w:rPr>
          <w:rFonts w:ascii="Book Antiqua" w:eastAsia="HY신명조" w:hAnsi="Book Antiqua" w:cs="Tahoma" w:hint="eastAsia"/>
          <w:b/>
          <w:bCs/>
          <w:spacing w:val="-10"/>
          <w:szCs w:val="20"/>
        </w:rPr>
        <w:t>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5F373E99"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entered into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Kyungyon Exhibition Corp.</w:t>
            </w:r>
          </w:p>
          <w:p w14:paraId="676FE170" w14:textId="77777777" w:rsidR="00B2523C" w:rsidRPr="00B2523C"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from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Furthermore, the Management reserves the right to alter the allocated space, relocate or close entrances and exits to the exhibition facilities, or implement other structural modifications as it deems necessary.</w:t>
            </w:r>
            <w:r w:rsidRPr="00B2523C">
              <w:rPr>
                <w:rFonts w:ascii="Times New Roman" w:hint="eastAsia"/>
                <w:spacing w:val="-8"/>
                <w:sz w:val="16"/>
                <w:szCs w:val="16"/>
              </w:rPr>
              <w:t xml:space="preserve"> </w:t>
            </w:r>
            <w:r w:rsidRPr="00B2523C">
              <w:rPr>
                <w:rFonts w:ascii="Times New Roman"/>
                <w:spacing w:val="-8"/>
                <w:sz w:val="16"/>
                <w:szCs w:val="16"/>
              </w:rPr>
              <w:t>Such changes shall be made at the discretion of the Exhibition Secretariat, and the Exhibitor shall have no claim for compensation as a result of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Exhibitors shall be liable for any damage caused to the walls or any part of the Exhibition hall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Without prejudice to the rights and remedies of the Exhibition Secretariat in respect of any breach of the Contract by the Exhibitor, the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c. Should the Exhibitor fail to observe or comply with any of the terms and conditions contained herein, or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relet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the event that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 xml:space="preserve">7. </w:t>
            </w:r>
            <w:r w:rsidRPr="00B2523C">
              <w:rPr>
                <w:rFonts w:ascii="Times New Roman" w:hint="eastAsia"/>
                <w:b/>
                <w:bCs/>
                <w:color w:val="000000" w:themeColor="text1"/>
                <w:spacing w:val="-12"/>
                <w:sz w:val="16"/>
                <w:szCs w:val="16"/>
              </w:rPr>
              <w:t xml:space="preserve"> Construction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Exhibition hall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against any loss, damage, or expense arising from any delay in such removal or any damage caused to the Exhibition hall.</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Fire, flood, typhoon, excessively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In such cases, no refund shall be made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Fire marshals or authorized personnel of the Exhibition Secretariat shall have the authority to inspect all stands and to prohibit or stop any demonstration or activity that is deemed to pose a fire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B8D4" w14:textId="77777777" w:rsidR="00DD4C0D" w:rsidRDefault="00DD4C0D">
      <w:r>
        <w:separator/>
      </w:r>
    </w:p>
  </w:endnote>
  <w:endnote w:type="continuationSeparator" w:id="0">
    <w:p w14:paraId="69FD56B2" w14:textId="77777777" w:rsidR="00DD4C0D" w:rsidRDefault="00DD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60D4" w14:textId="77777777" w:rsidR="00DD4C0D" w:rsidRDefault="00DD4C0D">
      <w:r>
        <w:separator/>
      </w:r>
    </w:p>
  </w:footnote>
  <w:footnote w:type="continuationSeparator" w:id="0">
    <w:p w14:paraId="1791A240" w14:textId="77777777" w:rsidR="00DD4C0D" w:rsidRDefault="00DD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7B99"/>
    <w:rsid w:val="000A6E43"/>
    <w:rsid w:val="000B195C"/>
    <w:rsid w:val="000C799B"/>
    <w:rsid w:val="000E7538"/>
    <w:rsid w:val="000F2E88"/>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2EDB"/>
    <w:rsid w:val="006639CF"/>
    <w:rsid w:val="006731D6"/>
    <w:rsid w:val="00685AA0"/>
    <w:rsid w:val="00690362"/>
    <w:rsid w:val="00697F90"/>
    <w:rsid w:val="006A2485"/>
    <w:rsid w:val="006B0134"/>
    <w:rsid w:val="006B0549"/>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E79D6"/>
    <w:rsid w:val="007F6441"/>
    <w:rsid w:val="007F7555"/>
    <w:rsid w:val="00801D38"/>
    <w:rsid w:val="008025EE"/>
    <w:rsid w:val="00804773"/>
    <w:rsid w:val="0080528A"/>
    <w:rsid w:val="008125B2"/>
    <w:rsid w:val="0081385A"/>
    <w:rsid w:val="008207E6"/>
    <w:rsid w:val="008242C4"/>
    <w:rsid w:val="008307EC"/>
    <w:rsid w:val="008359AC"/>
    <w:rsid w:val="00843951"/>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8651D"/>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BF6B70"/>
    <w:rsid w:val="00C04CCD"/>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04EE"/>
    <w:rsid w:val="00DA2A1A"/>
    <w:rsid w:val="00DA417A"/>
    <w:rsid w:val="00DB0A98"/>
    <w:rsid w:val="00DB168C"/>
    <w:rsid w:val="00DB612B"/>
    <w:rsid w:val="00DB72B1"/>
    <w:rsid w:val="00DC3385"/>
    <w:rsid w:val="00DC565F"/>
    <w:rsid w:val="00DC5AD8"/>
    <w:rsid w:val="00DD3540"/>
    <w:rsid w:val="00DD4C0D"/>
    <w:rsid w:val="00DD7283"/>
    <w:rsid w:val="00DE15ED"/>
    <w:rsid w:val="00DE1ECE"/>
    <w:rsid w:val="00DE6078"/>
    <w:rsid w:val="00DE72DF"/>
    <w:rsid w:val="00DF103B"/>
    <w:rsid w:val="00E04285"/>
    <w:rsid w:val="00E10708"/>
    <w:rsid w:val="00E1243C"/>
    <w:rsid w:val="00E17DD7"/>
    <w:rsid w:val="00E225C4"/>
    <w:rsid w:val="00E3032B"/>
    <w:rsid w:val="00E3288A"/>
    <w:rsid w:val="00E33E11"/>
    <w:rsid w:val="00E461A7"/>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27F1B"/>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2045</Words>
  <Characters>10839</Characters>
  <Application>Microsoft Office Word</Application>
  <DocSecurity>0</DocSecurity>
  <Lines>270</Lines>
  <Paragraphs>143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41</cp:revision>
  <cp:lastPrinted>2026-03-26T01:35:00Z</cp:lastPrinted>
  <dcterms:created xsi:type="dcterms:W3CDTF">2025-04-14T10:45:00Z</dcterms:created>
  <dcterms:modified xsi:type="dcterms:W3CDTF">2026-04-06T08:57:00Z</dcterms:modified>
</cp:coreProperties>
</file>